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31" w:rsidRDefault="005F3431" w:rsidP="005F3431">
      <w:pPr>
        <w:snapToGrid w:val="0"/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B10316">
        <w:rPr>
          <w:rFonts w:ascii="Times New Roman" w:hAnsi="Times New Roman"/>
          <w:bCs/>
          <w:sz w:val="20"/>
          <w:szCs w:val="20"/>
          <w:lang w:val="kk-KZ" w:eastAsia="ar-SA"/>
        </w:rPr>
        <w:t>1.</w:t>
      </w:r>
      <w:r w:rsidRPr="00B10316">
        <w:rPr>
          <w:rFonts w:ascii="Times New Roman" w:hAnsi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>ХХІ ғасырдағы маркетинг:</w:t>
      </w:r>
      <w:r w:rsidRPr="00B10316">
        <w:rPr>
          <w:rFonts w:ascii="Times New Roman" w:hAnsi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>м</w:t>
      </w:r>
      <w:r w:rsidRPr="00B10316">
        <w:rPr>
          <w:rFonts w:ascii="Times New Roman" w:hAnsi="Times New Roman"/>
          <w:sz w:val="20"/>
          <w:szCs w:val="20"/>
          <w:lang w:val="kk-KZ"/>
        </w:rPr>
        <w:t>аркетингтегі коммуникацияның негізгі түрлері</w:t>
      </w:r>
      <w:r>
        <w:rPr>
          <w:rFonts w:ascii="Times New Roman" w:hAnsi="Times New Roman"/>
          <w:sz w:val="20"/>
          <w:szCs w:val="20"/>
          <w:lang w:val="kk-KZ"/>
        </w:rPr>
        <w:t>н айқындаңыз</w:t>
      </w:r>
    </w:p>
    <w:p w:rsidR="005F3431" w:rsidRDefault="005F3431" w:rsidP="005F3431">
      <w:p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 w:eastAsia="ar-SA"/>
        </w:rPr>
      </w:pPr>
      <w:r w:rsidRPr="00B10316">
        <w:rPr>
          <w:rFonts w:ascii="Times New Roman" w:hAnsi="Times New Roman"/>
          <w:bCs/>
          <w:sz w:val="20"/>
          <w:szCs w:val="20"/>
          <w:lang w:val="kk-KZ" w:eastAsia="ar-SA"/>
        </w:rPr>
        <w:t>2. Маркетинг жəне коммуникацияның негізгі формалары. PR-дағы коммуникацияның маңыздылығы. Э</w:t>
      </w:r>
      <w:r>
        <w:rPr>
          <w:rFonts w:ascii="Times New Roman" w:hAnsi="Times New Roman"/>
          <w:bCs/>
          <w:sz w:val="20"/>
          <w:szCs w:val="20"/>
          <w:lang w:val="kk-KZ" w:eastAsia="ar-SA"/>
        </w:rPr>
        <w:t>тика жəне PR-дағы жауапкершіліктеріне сипаттамы беріңіз</w:t>
      </w:r>
    </w:p>
    <w:p w:rsidR="005F3431" w:rsidRDefault="005F3431" w:rsidP="005F3431">
      <w:p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 w:eastAsia="ar-SA"/>
        </w:rPr>
      </w:pPr>
      <w:r w:rsidRPr="00B10316">
        <w:rPr>
          <w:rFonts w:ascii="Times New Roman" w:hAnsi="Times New Roman"/>
          <w:bCs/>
          <w:sz w:val="20"/>
          <w:szCs w:val="20"/>
          <w:lang w:val="kk-KZ" w:eastAsia="ar-SA"/>
        </w:rPr>
        <w:t>3. Мерзімді баспасөздің маркетингі</w:t>
      </w:r>
      <w:r>
        <w:rPr>
          <w:rFonts w:ascii="Times New Roman" w:hAnsi="Times New Roman"/>
          <w:bCs/>
          <w:sz w:val="20"/>
          <w:szCs w:val="20"/>
          <w:lang w:val="kk-KZ" w:eastAsia="ar-SA"/>
        </w:rPr>
        <w:t>не тоқталыңыз</w:t>
      </w:r>
    </w:p>
    <w:p w:rsidR="005F3431" w:rsidRDefault="005F3431" w:rsidP="005F3431">
      <w:p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 w:eastAsia="ar-SA"/>
        </w:rPr>
      </w:pPr>
      <w:r w:rsidRPr="00B10316">
        <w:rPr>
          <w:rFonts w:ascii="Times New Roman" w:hAnsi="Times New Roman"/>
          <w:bCs/>
          <w:sz w:val="20"/>
          <w:szCs w:val="20"/>
          <w:lang w:val="kk-KZ" w:eastAsia="ar-SA"/>
        </w:rPr>
        <w:t>4. Аудиториямен тиімді байланыс жəне пəрменділік – маркетингтің басты құралы</w:t>
      </w:r>
      <w:r>
        <w:rPr>
          <w:rFonts w:ascii="Times New Roman" w:hAnsi="Times New Roman"/>
          <w:bCs/>
          <w:sz w:val="20"/>
          <w:szCs w:val="20"/>
          <w:lang w:val="kk-KZ" w:eastAsia="ar-SA"/>
        </w:rPr>
        <w:t xml:space="preserve"> ретінде сипаттаңыз</w:t>
      </w:r>
    </w:p>
    <w:p w:rsidR="005F3431" w:rsidRDefault="005F3431" w:rsidP="005F3431">
      <w:p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 w:eastAsia="ar-SA"/>
        </w:rPr>
      </w:pPr>
      <w:r w:rsidRPr="00B10316">
        <w:rPr>
          <w:rFonts w:ascii="Times New Roman" w:hAnsi="Times New Roman"/>
          <w:bCs/>
          <w:sz w:val="20"/>
          <w:szCs w:val="20"/>
          <w:lang w:val="kk-KZ" w:eastAsia="ar-SA"/>
        </w:rPr>
        <w:t>5. «Есірткіні бірге тоқтатамыз» жобасы</w:t>
      </w:r>
      <w:r>
        <w:rPr>
          <w:rFonts w:ascii="Times New Roman" w:hAnsi="Times New Roman"/>
          <w:bCs/>
          <w:sz w:val="20"/>
          <w:szCs w:val="20"/>
          <w:lang w:val="kk-KZ" w:eastAsia="ar-SA"/>
        </w:rPr>
        <w:t xml:space="preserve"> –  өзіндік пікір беріңіз</w:t>
      </w:r>
    </w:p>
    <w:p w:rsidR="005F3431" w:rsidRDefault="005F3431" w:rsidP="005F3431">
      <w:p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 w:eastAsia="ar-SA"/>
        </w:rPr>
      </w:pPr>
      <w:r w:rsidRPr="00B10316">
        <w:rPr>
          <w:rFonts w:ascii="Times New Roman" w:hAnsi="Times New Roman"/>
          <w:bCs/>
          <w:sz w:val="20"/>
          <w:szCs w:val="20"/>
          <w:lang w:val="kk-KZ" w:eastAsia="ar-SA"/>
        </w:rPr>
        <w:t>6. Əлемдік тарихтағы басқарудың үздік стратегиялары. Маркетингтің мəні. Өнімді өткізу</w:t>
      </w:r>
      <w:r>
        <w:rPr>
          <w:rFonts w:ascii="Times New Roman" w:hAnsi="Times New Roman"/>
          <w:bCs/>
          <w:sz w:val="20"/>
          <w:szCs w:val="20"/>
          <w:lang w:val="kk-KZ" w:eastAsia="ar-SA"/>
        </w:rPr>
        <w:t xml:space="preserve"> мәселелеріне тоқталыңыз</w:t>
      </w:r>
    </w:p>
    <w:p w:rsidR="005F3431" w:rsidRDefault="005F3431" w:rsidP="005F3431">
      <w:p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 w:eastAsia="ar-SA"/>
        </w:rPr>
      </w:pPr>
      <w:r w:rsidRPr="00B10316">
        <w:rPr>
          <w:rFonts w:ascii="Times New Roman" w:hAnsi="Times New Roman"/>
          <w:bCs/>
          <w:sz w:val="20"/>
          <w:szCs w:val="20"/>
          <w:lang w:val="kk-KZ" w:eastAsia="ar-SA"/>
        </w:rPr>
        <w:t>7. Шешім қабылдау. Ішкі корпоративтік коммуникациялар</w:t>
      </w:r>
      <w:r>
        <w:rPr>
          <w:rFonts w:ascii="Times New Roman" w:hAnsi="Times New Roman"/>
          <w:bCs/>
          <w:sz w:val="20"/>
          <w:szCs w:val="20"/>
          <w:lang w:val="kk-KZ" w:eastAsia="ar-SA"/>
        </w:rPr>
        <w:t>дың ерекшеліктерін ашып көрсетіңіз</w:t>
      </w:r>
    </w:p>
    <w:p w:rsidR="005F3431" w:rsidRDefault="005F3431" w:rsidP="005F3431">
      <w:p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 w:eastAsia="ar-SA"/>
        </w:rPr>
      </w:pPr>
      <w:r w:rsidRPr="00B10316">
        <w:rPr>
          <w:rFonts w:ascii="Times New Roman" w:hAnsi="Times New Roman"/>
          <w:bCs/>
          <w:sz w:val="20"/>
          <w:szCs w:val="20"/>
          <w:lang w:val="kk-KZ" w:eastAsia="ar-SA"/>
        </w:rPr>
        <w:t>8. PR-бөлімнің қызметін жоспарлау. Стратегиялық жоспарлау</w:t>
      </w:r>
      <w:r>
        <w:rPr>
          <w:rFonts w:ascii="Times New Roman" w:hAnsi="Times New Roman"/>
          <w:bCs/>
          <w:sz w:val="20"/>
          <w:szCs w:val="20"/>
          <w:lang w:val="kk-KZ" w:eastAsia="ar-SA"/>
        </w:rPr>
        <w:t>дың маңызын айқындаңыз</w:t>
      </w:r>
    </w:p>
    <w:p w:rsidR="005F3431" w:rsidRDefault="005F3431" w:rsidP="005F3431">
      <w:pPr>
        <w:snapToGrid w:val="0"/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B10316">
        <w:rPr>
          <w:rFonts w:ascii="Times New Roman" w:hAnsi="Times New Roman"/>
          <w:bCs/>
          <w:sz w:val="20"/>
          <w:szCs w:val="20"/>
          <w:lang w:val="kk-KZ" w:eastAsia="ar-SA"/>
        </w:rPr>
        <w:t>9.</w:t>
      </w:r>
      <w:r w:rsidRPr="00B10316">
        <w:rPr>
          <w:rFonts w:ascii="Times New Roman" w:hAnsi="Times New Roman"/>
          <w:sz w:val="20"/>
          <w:szCs w:val="20"/>
          <w:lang w:val="kk-KZ"/>
        </w:rPr>
        <w:t xml:space="preserve"> Стратегиялық жоспарлаудың кезеңдері</w:t>
      </w:r>
      <w:r>
        <w:rPr>
          <w:rFonts w:ascii="Times New Roman" w:hAnsi="Times New Roman"/>
          <w:sz w:val="20"/>
          <w:szCs w:val="20"/>
          <w:lang w:val="kk-KZ"/>
        </w:rPr>
        <w:t>не тоқталыңыз</w:t>
      </w:r>
    </w:p>
    <w:p w:rsidR="005F3431" w:rsidRDefault="005F3431" w:rsidP="005F3431">
      <w:p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 w:eastAsia="ar-SA"/>
        </w:rPr>
      </w:pPr>
      <w:r w:rsidRPr="00B10316">
        <w:rPr>
          <w:rFonts w:ascii="Times New Roman" w:hAnsi="Times New Roman"/>
          <w:bCs/>
          <w:sz w:val="20"/>
          <w:szCs w:val="20"/>
          <w:lang w:val="kk-KZ" w:eastAsia="ar-SA"/>
        </w:rPr>
        <w:t>10. Инновациялық маркетинг. Корпоративтік PR жəне тимбилдинг. Іскерлік қарым-қатынасты ұйымдастыру жəне адамдарға психологиялық əсер ету тəсілдері</w:t>
      </w:r>
      <w:r>
        <w:rPr>
          <w:rFonts w:ascii="Times New Roman" w:hAnsi="Times New Roman"/>
          <w:bCs/>
          <w:sz w:val="20"/>
          <w:szCs w:val="20"/>
          <w:lang w:val="kk-KZ" w:eastAsia="ar-SA"/>
        </w:rPr>
        <w:t>н айқындаңыз</w:t>
      </w:r>
    </w:p>
    <w:p w:rsidR="005F3431" w:rsidRDefault="005F3431" w:rsidP="005F3431">
      <w:p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 w:eastAsia="ar-SA"/>
        </w:rPr>
      </w:pPr>
      <w:r w:rsidRPr="00B10316">
        <w:rPr>
          <w:rFonts w:ascii="Times New Roman" w:hAnsi="Times New Roman"/>
          <w:bCs/>
          <w:sz w:val="20"/>
          <w:szCs w:val="20"/>
          <w:lang w:val="kk-KZ" w:eastAsia="ar-SA"/>
        </w:rPr>
        <w:t>11. Ішкі жəне сыртқы топтармен жұмыс</w:t>
      </w:r>
      <w:r>
        <w:rPr>
          <w:rFonts w:ascii="Times New Roman" w:hAnsi="Times New Roman"/>
          <w:bCs/>
          <w:sz w:val="20"/>
          <w:szCs w:val="20"/>
          <w:lang w:val="kk-KZ" w:eastAsia="ar-SA"/>
        </w:rPr>
        <w:t>тың үйлесімділігін сипаттаңыз</w:t>
      </w:r>
    </w:p>
    <w:p w:rsidR="005F3431" w:rsidRDefault="005F3431" w:rsidP="005F3431">
      <w:p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 w:eastAsia="ar-SA"/>
        </w:rPr>
      </w:pPr>
      <w:r w:rsidRPr="00B10316">
        <w:rPr>
          <w:rFonts w:ascii="Times New Roman" w:hAnsi="Times New Roman"/>
          <w:bCs/>
          <w:sz w:val="20"/>
          <w:szCs w:val="20"/>
          <w:lang w:val="kk-KZ" w:eastAsia="ar-SA"/>
        </w:rPr>
        <w:t>12. Маркетингтік коммуникация жүйесі. Ғаламтор технологиялар базасындағы маркетинг</w:t>
      </w:r>
      <w:r>
        <w:rPr>
          <w:rFonts w:ascii="Times New Roman" w:hAnsi="Times New Roman"/>
          <w:bCs/>
          <w:sz w:val="20"/>
          <w:szCs w:val="20"/>
          <w:lang w:val="kk-KZ" w:eastAsia="ar-SA"/>
        </w:rPr>
        <w:t>тік ерекшеліктерге тоқталыңыз</w:t>
      </w:r>
    </w:p>
    <w:p w:rsidR="005F3431" w:rsidRPr="005F3431" w:rsidRDefault="005F3431" w:rsidP="005F3431">
      <w:p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 w:eastAsia="ar-SA"/>
        </w:rPr>
      </w:pPr>
      <w:r w:rsidRPr="00B10316">
        <w:rPr>
          <w:rFonts w:ascii="Times New Roman" w:hAnsi="Times New Roman"/>
          <w:bCs/>
          <w:sz w:val="20"/>
          <w:szCs w:val="20"/>
          <w:lang w:val="kk-KZ" w:eastAsia="ar-SA"/>
        </w:rPr>
        <w:t>13. Маркетинг түрлері жəне олардың Қазақстанда даму тенденциялары</w:t>
      </w:r>
    </w:p>
    <w:p w:rsidR="005F3431" w:rsidRPr="005F3431" w:rsidRDefault="005F3431" w:rsidP="005F3431">
      <w:pPr>
        <w:snapToGrid w:val="0"/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B10316">
        <w:rPr>
          <w:rFonts w:ascii="Times New Roman" w:hAnsi="Times New Roman"/>
          <w:bCs/>
          <w:sz w:val="20"/>
          <w:szCs w:val="20"/>
          <w:lang w:val="kk-KZ" w:eastAsia="ar-SA"/>
        </w:rPr>
        <w:t>14. Табысты орта мен əлеуметтік жүйедегі маркетинг. Маркетингтік ақпараттық жүйе</w:t>
      </w:r>
    </w:p>
    <w:p w:rsidR="005F3431" w:rsidRPr="005F3431" w:rsidRDefault="005F3431" w:rsidP="005F3431">
      <w:p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 w:eastAsia="ar-SA"/>
        </w:rPr>
      </w:pPr>
      <w:r w:rsidRPr="00B10316">
        <w:rPr>
          <w:rFonts w:ascii="Times New Roman" w:hAnsi="Times New Roman"/>
          <w:bCs/>
          <w:sz w:val="20"/>
          <w:szCs w:val="20"/>
          <w:lang w:val="kk-KZ" w:eastAsia="ar-SA"/>
        </w:rPr>
        <w:t>15. Маркетингтің мəні, мазмұны жəне эволюциясы</w:t>
      </w:r>
    </w:p>
    <w:p w:rsidR="005F3431" w:rsidRDefault="005F3431" w:rsidP="005F3431">
      <w:p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 w:eastAsia="ar-SA"/>
        </w:rPr>
      </w:pPr>
    </w:p>
    <w:p w:rsidR="005F3431" w:rsidRPr="005F3431" w:rsidRDefault="005F3431" w:rsidP="005F3431">
      <w:p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 w:eastAsia="ar-SA"/>
        </w:rPr>
      </w:pPr>
      <w:r w:rsidRPr="005F3431">
        <w:rPr>
          <w:rFonts w:ascii="Times New Roman" w:hAnsi="Times New Roman"/>
          <w:bCs/>
          <w:sz w:val="20"/>
          <w:szCs w:val="20"/>
          <w:lang w:val="kk-KZ" w:eastAsia="ar-SA"/>
        </w:rPr>
        <w:t>Нұсқаулықтан:</w:t>
      </w:r>
    </w:p>
    <w:p w:rsidR="005F3431" w:rsidRPr="005F3431" w:rsidRDefault="005F3431" w:rsidP="005F3431">
      <w:p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 w:eastAsia="ar-SA"/>
        </w:rPr>
      </w:pPr>
      <w:r w:rsidRPr="005F3431">
        <w:rPr>
          <w:rFonts w:ascii="Times New Roman" w:hAnsi="Times New Roman"/>
          <w:bCs/>
          <w:sz w:val="20"/>
          <w:szCs w:val="20"/>
          <w:lang w:val="kk-KZ" w:eastAsia="ar-SA"/>
        </w:rPr>
        <w:t>Ауызша / жазбаша емтихан:</w:t>
      </w:r>
    </w:p>
    <w:p w:rsidR="005F3431" w:rsidRPr="005F3431" w:rsidRDefault="005F3431" w:rsidP="005F3431">
      <w:p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 w:eastAsia="ar-SA"/>
        </w:rPr>
      </w:pPr>
      <w:r w:rsidRPr="005F3431">
        <w:rPr>
          <w:rFonts w:ascii="Times New Roman" w:hAnsi="Times New Roman"/>
          <w:bCs/>
          <w:sz w:val="20"/>
          <w:szCs w:val="20"/>
          <w:lang w:val="kk-KZ" w:eastAsia="ar-SA"/>
        </w:rPr>
        <w:tab/>
        <w:t>Қорытынды бақылауға арналған емтихан материалдары оқушының жауабы оның оқу жоспарында көрсетілген нақты оқу нәтижесін қаншалықты қалыптастырғанын анықтайтындай етіп жасалады;</w:t>
      </w:r>
    </w:p>
    <w:p w:rsidR="005F3431" w:rsidRPr="005F3431" w:rsidRDefault="005F3431" w:rsidP="005F3431">
      <w:pPr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 w:eastAsia="ar-SA"/>
        </w:rPr>
      </w:pPr>
      <w:r w:rsidRPr="005F3431">
        <w:rPr>
          <w:rFonts w:ascii="Times New Roman" w:hAnsi="Times New Roman"/>
          <w:bCs/>
          <w:sz w:val="20"/>
          <w:szCs w:val="20"/>
          <w:lang w:val="kk-KZ" w:eastAsia="ar-SA"/>
        </w:rPr>
        <w:t>Емтихан сұрақтарының қиындық дәрежесін оқу деңгейіне және қалыптасатын құзыреттілікке байланысты өзгерту ұсынылады. Бакалавриат, магистратура және докторантураға арналған емтихан сұрақтары күрделілігі мен мазмұны бойынша айтарлықтай өзгеруі керек;</w:t>
      </w:r>
    </w:p>
    <w:p w:rsidR="005F3431" w:rsidRPr="005F3431" w:rsidRDefault="005F3431" w:rsidP="005F3431">
      <w:pPr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 w:eastAsia="ar-SA"/>
        </w:rPr>
      </w:pPr>
      <w:r w:rsidRPr="005F3431">
        <w:rPr>
          <w:rFonts w:ascii="Times New Roman" w:hAnsi="Times New Roman"/>
          <w:bCs/>
          <w:sz w:val="20"/>
          <w:szCs w:val="20"/>
          <w:lang w:val="kk-KZ" w:eastAsia="ar-SA"/>
        </w:rPr>
        <w:t>емтихан сұрақтары пән бойынша оқу нәтижелерін бағалайтын келесі нұсқаларға сәйкес жасалуы мүмкін:</w:t>
      </w:r>
    </w:p>
    <w:p w:rsidR="005F3431" w:rsidRPr="005F3431" w:rsidRDefault="005F3431" w:rsidP="005F3431">
      <w:p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 w:eastAsia="ar-SA"/>
        </w:rPr>
      </w:pPr>
      <w:r w:rsidRPr="005F3431">
        <w:rPr>
          <w:rFonts w:ascii="Times New Roman" w:hAnsi="Times New Roman"/>
          <w:bCs/>
          <w:sz w:val="20"/>
          <w:szCs w:val="20"/>
          <w:lang w:val="kk-KZ" w:eastAsia="ar-SA"/>
        </w:rPr>
        <w:t>1 нұсқа:</w:t>
      </w:r>
    </w:p>
    <w:p w:rsidR="005F3431" w:rsidRPr="005F3431" w:rsidRDefault="005F3431" w:rsidP="005F3431">
      <w:p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 w:eastAsia="ar-SA"/>
        </w:rPr>
      </w:pPr>
      <w:r w:rsidRPr="005F3431">
        <w:rPr>
          <w:rFonts w:ascii="Times New Roman" w:hAnsi="Times New Roman"/>
          <w:bCs/>
          <w:sz w:val="20"/>
          <w:szCs w:val="20"/>
          <w:lang w:val="kk-KZ" w:eastAsia="ar-SA"/>
        </w:rPr>
        <w:tab/>
        <w:t>Бірінші блокқа оқу объектісі туралы білімді және түсінуді бағалайтын когнитивті (білімдік) құзыреттілік сұрақтары кіреді:</w:t>
      </w:r>
    </w:p>
    <w:p w:rsidR="005F3431" w:rsidRPr="005F3431" w:rsidRDefault="005F3431" w:rsidP="005F3431">
      <w:pPr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 w:eastAsia="ar-SA"/>
        </w:rPr>
      </w:pPr>
      <w:r w:rsidRPr="005F3431">
        <w:rPr>
          <w:rFonts w:ascii="Times New Roman" w:hAnsi="Times New Roman"/>
          <w:bCs/>
          <w:sz w:val="20"/>
          <w:szCs w:val="20"/>
          <w:lang w:val="kk-KZ" w:eastAsia="ar-SA"/>
        </w:rPr>
        <w:t>бакалавриат студенттері үшін бұл қазіргі заманғы жетілдірілген оқулықтардың мазмұнына негізделген білім мен білім саласындағы озық білімді түсіну қабілеті;</w:t>
      </w:r>
    </w:p>
    <w:p w:rsidR="005F3431" w:rsidRPr="005F3431" w:rsidRDefault="005F3431" w:rsidP="005F3431">
      <w:pPr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 w:eastAsia="ar-SA"/>
        </w:rPr>
      </w:pPr>
      <w:r w:rsidRPr="005F3431">
        <w:rPr>
          <w:rFonts w:ascii="Times New Roman" w:hAnsi="Times New Roman"/>
          <w:bCs/>
          <w:sz w:val="20"/>
          <w:szCs w:val="20"/>
          <w:lang w:val="kk-KZ" w:eastAsia="ar-SA"/>
        </w:rPr>
        <w:t>Under магистранттар үшін бұл көбінесе зерттеу контекстінде идеяларды дамытуда және / немесе қолдануда өзіндік ерекшелігінің көрінуіне негіз болатын нақты фактілерден тұтас теориялар мен түсініктерге дейінгі білімді көрсету мүмкіндігі;</w:t>
      </w:r>
    </w:p>
    <w:p w:rsidR="005F3431" w:rsidRPr="005F3431" w:rsidRDefault="005F3431" w:rsidP="005F3431">
      <w:pPr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 w:eastAsia="ar-SA"/>
        </w:rPr>
      </w:pPr>
      <w:r w:rsidRPr="005F3431">
        <w:rPr>
          <w:rFonts w:ascii="Times New Roman" w:hAnsi="Times New Roman"/>
          <w:bCs/>
          <w:sz w:val="20"/>
          <w:szCs w:val="20"/>
          <w:lang w:val="kk-KZ" w:eastAsia="ar-SA"/>
        </w:rPr>
        <w:t>Doctor докторанттар үшін - бұл білім саласындағы ғылыми ақпаратты жүйелі түрде түсінуді, сонымен қатар осы саладағы зерттеу әдістерін білуді және меңгеруді көрсету қабілеті.</w:t>
      </w:r>
    </w:p>
    <w:p w:rsidR="005F3431" w:rsidRPr="005F3431" w:rsidRDefault="005F3431" w:rsidP="005F3431">
      <w:p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 w:eastAsia="ar-SA"/>
        </w:rPr>
      </w:pPr>
      <w:r w:rsidRPr="005F3431">
        <w:rPr>
          <w:rFonts w:ascii="Times New Roman" w:hAnsi="Times New Roman"/>
          <w:bCs/>
          <w:sz w:val="20"/>
          <w:szCs w:val="20"/>
          <w:lang w:val="kk-KZ" w:eastAsia="ar-SA"/>
        </w:rPr>
        <w:tab/>
        <w:t>Екінші блокқа ақпаратты қолдану және талдау қабілетін бағалайтын функционалдық құзыреттілікті анықтайтын сұрақтар кіреді:</w:t>
      </w:r>
    </w:p>
    <w:p w:rsidR="005F3431" w:rsidRPr="005F3431" w:rsidRDefault="005F3431" w:rsidP="005F3431">
      <w:pPr>
        <w:numPr>
          <w:ilvl w:val="0"/>
          <w:numId w:val="3"/>
        </w:num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 w:eastAsia="ar-SA"/>
        </w:rPr>
      </w:pPr>
      <w:r w:rsidRPr="005F3431">
        <w:rPr>
          <w:rFonts w:ascii="Times New Roman" w:hAnsi="Times New Roman"/>
          <w:bCs/>
          <w:sz w:val="20"/>
          <w:szCs w:val="20"/>
          <w:lang w:val="kk-KZ" w:eastAsia="ar-SA"/>
        </w:rPr>
        <w:t>бакалаврлар үшін - өз білімі мен түсінігін дәлелдеу мен дәлелдеуді дәлелдеу және оқу аясындағы мәселелерді шешу арқылы қолдану қабілеті;</w:t>
      </w:r>
    </w:p>
    <w:p w:rsidR="005F3431" w:rsidRPr="005F3431" w:rsidRDefault="005F3431" w:rsidP="005F3431">
      <w:pPr>
        <w:numPr>
          <w:ilvl w:val="0"/>
          <w:numId w:val="3"/>
        </w:num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 w:eastAsia="ar-SA"/>
        </w:rPr>
      </w:pPr>
      <w:r w:rsidRPr="005F3431">
        <w:rPr>
          <w:rFonts w:ascii="Times New Roman" w:hAnsi="Times New Roman"/>
          <w:bCs/>
          <w:sz w:val="20"/>
          <w:szCs w:val="20"/>
          <w:lang w:val="kk-KZ" w:eastAsia="ar-SA"/>
        </w:rPr>
        <w:t>магистранттар үшін бұл өз білімін қолдана білу және жаңа немесе таныс емес ортадағы мәселелерді олардың оқу саласына қатысты кең (немесе пәнаралық) жағдайда шешу мүмкіндігі;</w:t>
      </w:r>
    </w:p>
    <w:p w:rsidR="005F3431" w:rsidRPr="005F3431" w:rsidRDefault="005F3431" w:rsidP="005F3431">
      <w:pPr>
        <w:numPr>
          <w:ilvl w:val="0"/>
          <w:numId w:val="3"/>
        </w:num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 w:eastAsia="ar-SA"/>
        </w:rPr>
      </w:pPr>
      <w:r w:rsidRPr="005F3431">
        <w:rPr>
          <w:rFonts w:ascii="Times New Roman" w:hAnsi="Times New Roman"/>
          <w:bCs/>
          <w:sz w:val="20"/>
          <w:szCs w:val="20"/>
          <w:lang w:val="kk-KZ" w:eastAsia="ar-SA"/>
        </w:rPr>
        <w:t>Докторанттар үшін бұл күрделі зерттеу процесін жоспарлау, дамыту, енгізу және түзету мүмкіндігі.</w:t>
      </w:r>
    </w:p>
    <w:p w:rsidR="005F3431" w:rsidRPr="005F3431" w:rsidRDefault="005F3431" w:rsidP="005F3431">
      <w:p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 w:eastAsia="ar-SA"/>
        </w:rPr>
      </w:pPr>
      <w:r w:rsidRPr="005F3431">
        <w:rPr>
          <w:rFonts w:ascii="Times New Roman" w:hAnsi="Times New Roman"/>
          <w:bCs/>
          <w:sz w:val="20"/>
          <w:szCs w:val="20"/>
          <w:lang w:val="kk-KZ" w:eastAsia="ar-SA"/>
        </w:rPr>
        <w:tab/>
        <w:t>Үшінші блокқа ақпаратты синтездеу және бағалау қабілетін ашатын жүйелік құзыреттілік сұрақтары кіреді:</w:t>
      </w:r>
    </w:p>
    <w:p w:rsidR="005F3431" w:rsidRPr="005F3431" w:rsidRDefault="005F3431" w:rsidP="005F3431">
      <w:pPr>
        <w:numPr>
          <w:ilvl w:val="0"/>
          <w:numId w:val="3"/>
        </w:num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 w:eastAsia="ar-SA"/>
        </w:rPr>
      </w:pPr>
      <w:r w:rsidRPr="005F3431">
        <w:rPr>
          <w:rFonts w:ascii="Times New Roman" w:hAnsi="Times New Roman"/>
          <w:bCs/>
          <w:sz w:val="20"/>
          <w:szCs w:val="20"/>
          <w:lang w:val="kk-KZ" w:eastAsia="ar-SA"/>
        </w:rPr>
        <w:t>студенттерге - бұл тұжырымдарды дәлелдеу, эссе, эссе жазу мүмкіндігі;</w:t>
      </w:r>
    </w:p>
    <w:p w:rsidR="005F3431" w:rsidRPr="005F3431" w:rsidRDefault="005F3431" w:rsidP="005F3431">
      <w:pPr>
        <w:numPr>
          <w:ilvl w:val="0"/>
          <w:numId w:val="3"/>
        </w:num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 w:eastAsia="ar-SA"/>
        </w:rPr>
      </w:pPr>
      <w:r w:rsidRPr="005F3431">
        <w:rPr>
          <w:rFonts w:ascii="Times New Roman" w:hAnsi="Times New Roman"/>
          <w:bCs/>
          <w:sz w:val="20"/>
          <w:szCs w:val="20"/>
          <w:lang w:val="kk-KZ" w:eastAsia="ar-SA"/>
        </w:rPr>
        <w:t>магистранттар үшін бұл білімді біріктіру және күрделі мәселелермен күресу мүмкіндігі; толық емес немесе шектеулі ақпаратқа негізделген тұжырымдарды тұжырымдау; ғылыми нәтижелерді сипаттау, негіздеу;</w:t>
      </w:r>
    </w:p>
    <w:p w:rsidR="005F3431" w:rsidRPr="005F3431" w:rsidRDefault="005F3431" w:rsidP="005F3431">
      <w:pPr>
        <w:numPr>
          <w:ilvl w:val="0"/>
          <w:numId w:val="3"/>
        </w:num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 w:eastAsia="ar-SA"/>
        </w:rPr>
      </w:pPr>
      <w:r w:rsidRPr="005F3431">
        <w:rPr>
          <w:rFonts w:ascii="Times New Roman" w:hAnsi="Times New Roman"/>
          <w:bCs/>
          <w:sz w:val="20"/>
          <w:szCs w:val="20"/>
          <w:lang w:val="kk-KZ" w:eastAsia="ar-SA"/>
        </w:rPr>
        <w:t>докторанттар үшін бұл жаңа және күрделі идеяларды сыни тұрғыдан талдау, бағалау және синтездеу мүмкіндігі; ғылыми қызметтің белгілі бір өнімінің маңыздылығын бағалау және анықтау мүмкіндігі.</w:t>
      </w:r>
    </w:p>
    <w:p w:rsidR="005F3431" w:rsidRPr="005F3431" w:rsidRDefault="005F3431" w:rsidP="005F3431">
      <w:p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 w:eastAsia="ar-SA"/>
        </w:rPr>
      </w:pPr>
      <w:r w:rsidRPr="005F3431">
        <w:rPr>
          <w:rFonts w:ascii="Times New Roman" w:hAnsi="Times New Roman"/>
          <w:bCs/>
          <w:sz w:val="20"/>
          <w:szCs w:val="20"/>
          <w:lang w:val="kk-KZ" w:eastAsia="ar-SA"/>
        </w:rPr>
        <w:t>II нұсқасы:</w:t>
      </w:r>
    </w:p>
    <w:p w:rsidR="005F3431" w:rsidRPr="005F3431" w:rsidRDefault="005F3431" w:rsidP="005F3431">
      <w:p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 w:eastAsia="ar-SA"/>
        </w:rPr>
      </w:pPr>
      <w:r w:rsidRPr="005F3431">
        <w:rPr>
          <w:rFonts w:ascii="Times New Roman" w:hAnsi="Times New Roman"/>
          <w:bCs/>
          <w:sz w:val="20"/>
          <w:szCs w:val="20"/>
          <w:lang w:val="kk-KZ" w:eastAsia="ar-SA"/>
        </w:rPr>
        <w:t>Емтихан сұрақтарын блоктарға бөлмей құрыңыз:</w:t>
      </w:r>
    </w:p>
    <w:p w:rsidR="005F3431" w:rsidRPr="005F3431" w:rsidRDefault="005F3431" w:rsidP="005F3431">
      <w:pPr>
        <w:numPr>
          <w:ilvl w:val="0"/>
          <w:numId w:val="4"/>
        </w:num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 w:eastAsia="ar-SA"/>
        </w:rPr>
      </w:pPr>
      <w:r w:rsidRPr="005F3431">
        <w:rPr>
          <w:rFonts w:ascii="Times New Roman" w:hAnsi="Times New Roman"/>
          <w:bCs/>
          <w:sz w:val="20"/>
          <w:szCs w:val="20"/>
          <w:lang w:val="kk-KZ" w:eastAsia="ar-SA"/>
        </w:rPr>
        <w:t>когнитивті + функционалдық аспектілер;</w:t>
      </w:r>
    </w:p>
    <w:p w:rsidR="005F3431" w:rsidRPr="005F3431" w:rsidRDefault="005F3431" w:rsidP="005F3431">
      <w:pPr>
        <w:numPr>
          <w:ilvl w:val="0"/>
          <w:numId w:val="4"/>
        </w:num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 w:eastAsia="ar-SA"/>
        </w:rPr>
      </w:pPr>
      <w:r w:rsidRPr="005F3431">
        <w:rPr>
          <w:rFonts w:ascii="Times New Roman" w:hAnsi="Times New Roman"/>
          <w:bCs/>
          <w:sz w:val="20"/>
          <w:szCs w:val="20"/>
          <w:lang w:val="kk-KZ" w:eastAsia="ar-SA"/>
        </w:rPr>
        <w:t>функционалдық + жүйе;</w:t>
      </w:r>
    </w:p>
    <w:p w:rsidR="005F3431" w:rsidRPr="005F3431" w:rsidRDefault="005F3431" w:rsidP="005F3431">
      <w:pPr>
        <w:numPr>
          <w:ilvl w:val="0"/>
          <w:numId w:val="4"/>
        </w:num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 w:eastAsia="ar-SA"/>
        </w:rPr>
      </w:pPr>
      <w:r w:rsidRPr="005F3431">
        <w:rPr>
          <w:rFonts w:ascii="Times New Roman" w:hAnsi="Times New Roman"/>
          <w:bCs/>
          <w:sz w:val="20"/>
          <w:szCs w:val="20"/>
          <w:lang w:val="kk-KZ" w:eastAsia="ar-SA"/>
        </w:rPr>
        <w:t>Когнитивті + функционалды + жүйелік</w:t>
      </w:r>
    </w:p>
    <w:p w:rsidR="005F3431" w:rsidRPr="005F3431" w:rsidRDefault="005F3431" w:rsidP="005F3431">
      <w:pPr>
        <w:numPr>
          <w:ilvl w:val="0"/>
          <w:numId w:val="4"/>
        </w:num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 w:eastAsia="ar-SA"/>
        </w:rPr>
      </w:pPr>
      <w:r w:rsidRPr="005F3431">
        <w:rPr>
          <w:rFonts w:ascii="Times New Roman" w:hAnsi="Times New Roman"/>
          <w:bCs/>
          <w:sz w:val="20"/>
          <w:szCs w:val="20"/>
          <w:lang w:val="kk-KZ" w:eastAsia="ar-SA"/>
        </w:rPr>
        <w:t>Кез-келген нұсқа үшін мұғалімнің өзі емтихан сұрақтарының санын анықтайды.</w:t>
      </w:r>
    </w:p>
    <w:sectPr w:rsidR="005F3431" w:rsidRPr="005F3431" w:rsidSect="006D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46C78"/>
    <w:multiLevelType w:val="hybridMultilevel"/>
    <w:tmpl w:val="F3721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94EAC"/>
    <w:multiLevelType w:val="hybridMultilevel"/>
    <w:tmpl w:val="D24E7F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328CF"/>
    <w:multiLevelType w:val="hybridMultilevel"/>
    <w:tmpl w:val="76CC0B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D7937"/>
    <w:multiLevelType w:val="hybridMultilevel"/>
    <w:tmpl w:val="03C4E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3431"/>
    <w:rsid w:val="005F3431"/>
    <w:rsid w:val="006D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551</Words>
  <Characters>3335</Characters>
  <Application>Microsoft Office Word</Application>
  <DocSecurity>0</DocSecurity>
  <Lines>370</Lines>
  <Paragraphs>194</Paragraphs>
  <ScaleCrop>false</ScaleCrop>
  <Company>Reanimator Extreme Edition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2021-01-31T19:48:00Z</dcterms:created>
  <dcterms:modified xsi:type="dcterms:W3CDTF">2021-01-31T19:55:00Z</dcterms:modified>
</cp:coreProperties>
</file>